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199" w:leftChars="-95"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深圳市福田区慢性病防治院20</w:t>
      </w:r>
      <w:r>
        <w:rPr>
          <w:rFonts w:hint="default" w:ascii="方正小标宋_GBK" w:hAnsi="方正小标宋_GBK" w:eastAsia="方正小标宋_GBK" w:cs="方正小标宋_GBK"/>
          <w:b w:val="0"/>
          <w:bCs w:val="0"/>
          <w:color w:val="auto"/>
          <w:sz w:val="44"/>
          <w:szCs w:val="44"/>
          <w:highlight w:val="none"/>
          <w:lang w:val="en-US" w:eastAsia="zh-CN"/>
        </w:rPr>
        <w:t>2</w:t>
      </w:r>
      <w:r>
        <w:rPr>
          <w:rFonts w:hint="eastAsia" w:ascii="方正小标宋_GBK" w:hAnsi="方正小标宋_GBK" w:eastAsia="方正小标宋_GBK" w:cs="方正小标宋_GBK"/>
          <w:b w:val="0"/>
          <w:bCs w:val="0"/>
          <w:color w:val="auto"/>
          <w:sz w:val="44"/>
          <w:szCs w:val="44"/>
          <w:highlight w:val="none"/>
          <w:lang w:val="en-US" w:eastAsia="zh-CN"/>
        </w:rPr>
        <w:t>2年度财政拨款</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“三公”经费支出决算情况</w:t>
      </w:r>
    </w:p>
    <w:p>
      <w:pPr>
        <w:keepNext w:val="0"/>
        <w:keepLines w:val="0"/>
        <w:pageBreakBefore w:val="0"/>
        <w:widowControl/>
        <w:kinsoku/>
        <w:wordWrap/>
        <w:overflowPunct/>
        <w:topLinePunct w:val="0"/>
        <w:autoSpaceDE/>
        <w:autoSpaceDN/>
        <w:bidi w:val="0"/>
        <w:adjustRightInd/>
        <w:snapToGrid/>
        <w:spacing w:line="560" w:lineRule="exact"/>
        <w:ind w:left="0" w:firstLine="646"/>
        <w:textAlignment w:val="auto"/>
        <w:rPr>
          <w:rFonts w:hint="eastAsia" w:ascii="宋体" w:hAnsi="宋体" w:eastAsia="宋体" w:cs="宋体"/>
          <w:b/>
          <w:bCs/>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left="0" w:firstLine="646"/>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一、“三公”经费的单位范围</w:t>
      </w:r>
    </w:p>
    <w:p>
      <w:pPr>
        <w:keepNext w:val="0"/>
        <w:keepLines w:val="0"/>
        <w:pageBreakBefore w:val="0"/>
        <w:widowControl/>
        <w:kinsoku/>
        <w:wordWrap/>
        <w:overflowPunct/>
        <w:topLinePunct w:val="0"/>
        <w:autoSpaceDE/>
        <w:autoSpaceDN/>
        <w:bidi w:val="0"/>
        <w:adjustRightInd/>
        <w:snapToGrid/>
        <w:spacing w:line="560" w:lineRule="exact"/>
        <w:ind w:left="0" w:firstLine="646"/>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深圳市福田区慢性病防治院</w:t>
      </w:r>
      <w:r>
        <w:rPr>
          <w:rFonts w:hint="default" w:ascii="仿宋_GB2312" w:hAnsi="仿宋_GB2312" w:eastAsia="仿宋_GB2312" w:cs="仿宋_GB2312"/>
          <w:color w:val="auto"/>
          <w:kern w:val="0"/>
          <w:sz w:val="32"/>
          <w:szCs w:val="32"/>
          <w:highlight w:val="none"/>
          <w:lang w:val="en-US" w:eastAsia="zh-CN"/>
        </w:rPr>
        <w:t>因公出国（境）费用、公务接待费、公务用车购置和运行维护费开支单位包括：</w:t>
      </w:r>
      <w:r>
        <w:rPr>
          <w:rFonts w:hint="eastAsia" w:ascii="仿宋_GB2312" w:hAnsi="仿宋_GB2312" w:eastAsia="仿宋_GB2312" w:cs="仿宋_GB2312"/>
          <w:color w:val="auto"/>
          <w:kern w:val="0"/>
          <w:sz w:val="32"/>
          <w:szCs w:val="32"/>
          <w:highlight w:val="none"/>
          <w:lang w:val="en-US" w:eastAsia="zh-CN"/>
        </w:rPr>
        <w:t>深圳市福田区慢性病防治院</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6"/>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二、财政拨款“三公”经费支出决算情况说明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（一）“三公”经费财政拨款支出决算总体情况说明（详见附件）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深圳市福田区慢性病防治院2022年度“三公”经费财政拨款支出决算为0万元，完成全年预算0万元的0%，比上年决算数增加0万元，增长0%。其中：因公出国（境）费支出决算为0万元，完成全年预算0万元的0%，比上年决算数增加0万元，增长0%；公务用车购置及运行维护费支出决算为0万元，完成全年预算0万元的0%，比上年决算数增加0万元，增长0%；其中：公务用车购置支出决算为0万元，完成全年预算0万元的0%，比上年决算数增加0万元，增长0%；公务用车运行维护费支出决算为0万元，完成全年预算0万元的0%，比上年决算数增加0万元，增长0%；公务接待费支出决算为0万元，完成全年预算0万元的0%，比上年决算数增加0万元，增长0%。</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2022年度“三公”经费支出决算等于预算数的主要情况：均为0，未开支。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2022年度“三公”经费支出决算等于上年决算数的主要情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况：均为0，未开支。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2022年度“三公”经费财政拨款支出决算中，因公出国（境）费0万元，占0%；公务用车购置及运行维护费支出0万元，占0%；公务接待费支出0万元，占0%。具体情况如下：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1.因公出国（境）费支出0万元。全年使用财政拨款安排出国（境</w:t>
      </w:r>
      <w:bookmarkStart w:id="2" w:name="_GoBack"/>
      <w:r>
        <w:rPr>
          <w:rFonts w:hint="eastAsia" w:ascii="仿宋_GB2312" w:hAnsi="仿宋_GB2312" w:eastAsia="仿宋_GB2312" w:cs="仿宋_GB2312"/>
          <w:color w:val="auto"/>
          <w:kern w:val="0"/>
          <w:sz w:val="32"/>
          <w:szCs w:val="32"/>
          <w:highlight w:val="none"/>
          <w:lang w:val="en-US" w:eastAsia="zh-CN"/>
        </w:rPr>
        <w:t>）</w:t>
      </w:r>
      <w:bookmarkEnd w:id="2"/>
      <w:r>
        <w:rPr>
          <w:rFonts w:hint="eastAsia" w:ascii="仿宋_GB2312" w:hAnsi="仿宋_GB2312" w:eastAsia="仿宋_GB2312" w:cs="仿宋_GB2312"/>
          <w:color w:val="auto"/>
          <w:kern w:val="0"/>
          <w:sz w:val="32"/>
          <w:szCs w:val="32"/>
          <w:highlight w:val="none"/>
          <w:lang w:val="en-US" w:eastAsia="zh-CN"/>
        </w:rPr>
        <w:t>团组0个、累计0人次。2022年度我单位无因公出国（境）相关费用开支。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公务用车购置及运行维护费支出0万元，其中：公务用车购置支出为0万元，公务用车购置数0辆。公务用车运行维护费支出0万元，公务用车保有量为0辆，主要用于公务用车购置及运行维护，2022年度我单位无公务用车购置及运行维护相关费用开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3.公务接待费支出0万元，主要用于公务接待，共接待国外、</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境外来访团组0个，来访外宾0人次；发生国内接待0次，接待人数共0人。2022年度我单位无公务接待相关费用开支。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9"/>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19" w:leftChars="-295" w:right="0" w:rightChars="0" w:firstLine="617" w:firstLineChars="193"/>
        <w:jc w:val="both"/>
        <w:textAlignment w:val="auto"/>
        <w:outlineLvl w:val="9"/>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19" w:leftChars="-295" w:right="0" w:rightChars="0" w:firstLine="617" w:firstLineChars="193"/>
        <w:jc w:val="both"/>
        <w:textAlignment w:val="auto"/>
        <w:outlineLvl w:val="9"/>
        <w:rPr>
          <w:rFonts w:hint="default" w:ascii="仿宋_GB2312" w:hAnsi="仿宋_GB2312" w:eastAsia="仿宋_GB2312" w:cs="仿宋_GB2312"/>
          <w:color w:val="auto"/>
          <w:kern w:val="0"/>
          <w:sz w:val="32"/>
          <w:szCs w:val="32"/>
          <w:highlight w:val="none"/>
          <w:lang w:val="en-US" w:eastAsia="zh-CN"/>
        </w:rPr>
        <w:sectPr>
          <w:pgSz w:w="11906" w:h="16838"/>
          <w:pgMar w:top="1701" w:right="1474" w:bottom="1134" w:left="1474" w:header="851" w:footer="992" w:gutter="0"/>
          <w:pgNumType w:fmt="numberInDash"/>
          <w:cols w:space="72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附件</w:t>
      </w:r>
    </w:p>
    <w:tbl>
      <w:tblPr>
        <w:tblStyle w:val="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174" w:type="dxa"/>
            <w:gridSpan w:val="12"/>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val="0"/>
                <w:bCs/>
                <w:highlight w:val="none"/>
              </w:rPr>
            </w:pPr>
            <w:r>
              <w:rPr>
                <w:rFonts w:hint="eastAsia" w:ascii="方正小标宋_GBK" w:hAnsi="方正小标宋_GBK" w:eastAsia="方正小标宋_GBK" w:cs="方正小标宋_GBK"/>
                <w:b w:val="0"/>
                <w:bCs/>
                <w:kern w:val="0"/>
                <w:sz w:val="36"/>
                <w:szCs w:val="36"/>
                <w:highlight w:val="none"/>
                <w:lang w:val="en-US" w:eastAsia="zh-CN"/>
              </w:rPr>
              <w:t>2022年度</w:t>
            </w:r>
            <w:r>
              <w:rPr>
                <w:rFonts w:hint="eastAsia" w:ascii="方正小标宋_GBK" w:hAnsi="方正小标宋_GBK" w:eastAsia="方正小标宋_GBK" w:cs="方正小标宋_GBK"/>
                <w:b w:val="0"/>
                <w:bCs/>
                <w:kern w:val="0"/>
                <w:sz w:val="36"/>
                <w:szCs w:val="36"/>
                <w:highlight w:val="none"/>
              </w:rPr>
              <w:t>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639" w:type="dxa"/>
            <w:gridSpan w:val="9"/>
            <w:tcBorders>
              <w:top w:val="nil"/>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24"/>
                <w:szCs w:val="24"/>
                <w:highlight w:val="none"/>
              </w:rPr>
            </w:pPr>
            <w:bookmarkStart w:id="0" w:name="PO_part2DivName7"/>
            <w:r>
              <w:rPr>
                <w:rFonts w:hint="eastAsia" w:ascii="仿宋_GB2312" w:hAnsi="仿宋_GB2312" w:eastAsia="仿宋_GB2312" w:cs="仿宋_GB2312"/>
                <w:kern w:val="0"/>
                <w:sz w:val="24"/>
                <w:szCs w:val="24"/>
                <w:highlight w:val="none"/>
              </w:rPr>
              <w:t xml:space="preserve"> 单位 </w:t>
            </w:r>
            <w:bookmarkEnd w:id="0"/>
            <w:r>
              <w:rPr>
                <w:rFonts w:hint="eastAsia" w:ascii="仿宋_GB2312" w:hAnsi="仿宋_GB2312" w:eastAsia="仿宋_GB2312" w:cs="仿宋_GB2312"/>
                <w:kern w:val="0"/>
                <w:sz w:val="24"/>
                <w:szCs w:val="24"/>
                <w:highlight w:val="none"/>
              </w:rPr>
              <w:t>：</w:t>
            </w:r>
            <w:bookmarkStart w:id="1" w:name="PO_part2Table7DivName1"/>
            <w:r>
              <w:rPr>
                <w:rFonts w:hint="eastAsia" w:ascii="仿宋_GB2312" w:hAnsi="仿宋_GB2312" w:eastAsia="仿宋_GB2312" w:cs="仿宋_GB2312"/>
                <w:kern w:val="0"/>
                <w:sz w:val="24"/>
                <w:szCs w:val="24"/>
                <w:highlight w:val="none"/>
                <w:lang w:val="en-US" w:eastAsia="zh-CN"/>
              </w:rPr>
              <w:t>深圳市福田区慢性病防治院</w:t>
            </w:r>
            <w:r>
              <w:rPr>
                <w:rFonts w:hint="eastAsia" w:ascii="仿宋_GB2312" w:hAnsi="仿宋_GB2312" w:eastAsia="仿宋_GB2312" w:cs="仿宋_GB2312"/>
                <w:kern w:val="0"/>
                <w:sz w:val="24"/>
                <w:szCs w:val="24"/>
                <w:highlight w:val="none"/>
              </w:rPr>
              <w:t xml:space="preserve"> </w:t>
            </w:r>
            <w:bookmarkEnd w:id="1"/>
          </w:p>
        </w:tc>
        <w:tc>
          <w:tcPr>
            <w:tcW w:w="3535" w:type="dxa"/>
            <w:gridSpan w:val="3"/>
            <w:tcBorders>
              <w:top w:val="nil"/>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560" w:lineRule="exact"/>
              <w:ind w:left="0"/>
              <w:jc w:val="righ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093" w:type="dxa"/>
            <w:gridSpan w:val="6"/>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预算数</w:t>
            </w:r>
          </w:p>
        </w:tc>
        <w:tc>
          <w:tcPr>
            <w:tcW w:w="7081" w:type="dxa"/>
            <w:gridSpan w:val="6"/>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183"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合计</w:t>
            </w:r>
          </w:p>
        </w:tc>
        <w:tc>
          <w:tcPr>
            <w:tcW w:w="1182"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因公出国（境）费</w:t>
            </w:r>
          </w:p>
        </w:tc>
        <w:tc>
          <w:tcPr>
            <w:tcW w:w="3546"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公务用车购置及运行费</w:t>
            </w:r>
          </w:p>
        </w:tc>
        <w:tc>
          <w:tcPr>
            <w:tcW w:w="1182"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公务接待费</w:t>
            </w:r>
          </w:p>
        </w:tc>
        <w:tc>
          <w:tcPr>
            <w:tcW w:w="1182"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合计</w:t>
            </w:r>
          </w:p>
        </w:tc>
        <w:tc>
          <w:tcPr>
            <w:tcW w:w="1182"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因公出国（境）费</w:t>
            </w:r>
          </w:p>
        </w:tc>
        <w:tc>
          <w:tcPr>
            <w:tcW w:w="3546"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公务用车购置及运行费</w:t>
            </w:r>
          </w:p>
        </w:tc>
        <w:tc>
          <w:tcPr>
            <w:tcW w:w="1171"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kern w:val="0"/>
                <w:sz w:val="24"/>
                <w:szCs w:val="24"/>
                <w:highlight w:val="none"/>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183"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4"/>
                <w:szCs w:val="24"/>
                <w:highlight w:val="none"/>
              </w:rPr>
            </w:pPr>
          </w:p>
        </w:tc>
        <w:tc>
          <w:tcPr>
            <w:tcW w:w="11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4"/>
                <w:szCs w:val="24"/>
                <w:highlight w:val="none"/>
              </w:rPr>
            </w:pP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小计</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公务用车</w:t>
            </w:r>
            <w:r>
              <w:rPr>
                <w:rFonts w:hint="eastAsia" w:ascii="仿宋_GB2312" w:hAnsi="仿宋_GB2312" w:eastAsia="仿宋_GB2312" w:cs="仿宋_GB2312"/>
                <w:b/>
                <w:bCs/>
                <w:kern w:val="0"/>
                <w:sz w:val="24"/>
                <w:szCs w:val="24"/>
                <w:highlight w:val="none"/>
              </w:rPr>
              <w:br w:type="textWrapping"/>
            </w:r>
            <w:r>
              <w:rPr>
                <w:rFonts w:hint="eastAsia" w:ascii="仿宋_GB2312" w:hAnsi="仿宋_GB2312" w:eastAsia="仿宋_GB2312" w:cs="仿宋_GB2312"/>
                <w:b/>
                <w:bCs/>
                <w:kern w:val="0"/>
                <w:sz w:val="24"/>
                <w:szCs w:val="24"/>
                <w:highlight w:val="none"/>
              </w:rPr>
              <w:t>购置费</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公务用车</w:t>
            </w:r>
            <w:r>
              <w:rPr>
                <w:rFonts w:hint="eastAsia" w:ascii="仿宋_GB2312" w:hAnsi="仿宋_GB2312" w:eastAsia="仿宋_GB2312" w:cs="仿宋_GB2312"/>
                <w:b/>
                <w:bCs/>
                <w:kern w:val="0"/>
                <w:sz w:val="24"/>
                <w:szCs w:val="24"/>
                <w:highlight w:val="none"/>
              </w:rPr>
              <w:br w:type="textWrapping"/>
            </w:r>
            <w:r>
              <w:rPr>
                <w:rFonts w:hint="eastAsia" w:ascii="仿宋_GB2312" w:hAnsi="仿宋_GB2312" w:eastAsia="仿宋_GB2312" w:cs="仿宋_GB2312"/>
                <w:b/>
                <w:bCs/>
                <w:kern w:val="0"/>
                <w:sz w:val="24"/>
                <w:szCs w:val="24"/>
                <w:highlight w:val="none"/>
              </w:rPr>
              <w:t>运行费</w:t>
            </w:r>
          </w:p>
        </w:tc>
        <w:tc>
          <w:tcPr>
            <w:tcW w:w="11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24"/>
                <w:szCs w:val="24"/>
                <w:highlight w:val="none"/>
              </w:rPr>
            </w:pPr>
          </w:p>
        </w:tc>
        <w:tc>
          <w:tcPr>
            <w:tcW w:w="11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24"/>
                <w:szCs w:val="24"/>
                <w:highlight w:val="none"/>
              </w:rPr>
            </w:pPr>
          </w:p>
        </w:tc>
        <w:tc>
          <w:tcPr>
            <w:tcW w:w="11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24"/>
                <w:szCs w:val="24"/>
                <w:highlight w:val="none"/>
              </w:rPr>
            </w:pP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小计</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公务用车</w:t>
            </w:r>
            <w:r>
              <w:rPr>
                <w:rFonts w:hint="eastAsia" w:ascii="仿宋_GB2312" w:hAnsi="仿宋_GB2312" w:eastAsia="仿宋_GB2312" w:cs="仿宋_GB2312"/>
                <w:b/>
                <w:bCs/>
                <w:kern w:val="0"/>
                <w:sz w:val="24"/>
                <w:szCs w:val="24"/>
                <w:highlight w:val="none"/>
              </w:rPr>
              <w:br w:type="textWrapping"/>
            </w:r>
            <w:r>
              <w:rPr>
                <w:rFonts w:hint="eastAsia" w:ascii="仿宋_GB2312" w:hAnsi="仿宋_GB2312" w:eastAsia="仿宋_GB2312" w:cs="仿宋_GB2312"/>
                <w:b/>
                <w:bCs/>
                <w:kern w:val="0"/>
                <w:sz w:val="24"/>
                <w:szCs w:val="24"/>
                <w:highlight w:val="none"/>
              </w:rPr>
              <w:t>购置费</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公务用车</w:t>
            </w:r>
            <w:r>
              <w:rPr>
                <w:rFonts w:hint="eastAsia" w:ascii="仿宋_GB2312" w:hAnsi="仿宋_GB2312" w:eastAsia="仿宋_GB2312" w:cs="仿宋_GB2312"/>
                <w:b/>
                <w:bCs/>
                <w:kern w:val="0"/>
                <w:sz w:val="24"/>
                <w:szCs w:val="24"/>
                <w:highlight w:val="none"/>
              </w:rPr>
              <w:br w:type="textWrapping"/>
            </w:r>
            <w:r>
              <w:rPr>
                <w:rFonts w:hint="eastAsia" w:ascii="仿宋_GB2312" w:hAnsi="仿宋_GB2312" w:eastAsia="仿宋_GB2312" w:cs="仿宋_GB2312"/>
                <w:b/>
                <w:bCs/>
                <w:kern w:val="0"/>
                <w:sz w:val="24"/>
                <w:szCs w:val="24"/>
                <w:highlight w:val="none"/>
              </w:rPr>
              <w:t>运行费</w:t>
            </w:r>
          </w:p>
        </w:tc>
        <w:tc>
          <w:tcPr>
            <w:tcW w:w="1171"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183"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11</w:t>
            </w:r>
          </w:p>
        </w:tc>
        <w:tc>
          <w:tcPr>
            <w:tcW w:w="1171"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183"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c>
          <w:tcPr>
            <w:tcW w:w="1171" w:type="dxa"/>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rPr>
              <w:t>0.00</w:t>
            </w:r>
          </w:p>
        </w:tc>
      </w:tr>
    </w:tbl>
    <w:p>
      <w:pPr>
        <w:keepNext w:val="0"/>
        <w:keepLines w:val="0"/>
        <w:pageBreakBefore w:val="0"/>
        <w:widowControl w:val="0"/>
        <w:kinsoku/>
        <w:wordWrap/>
        <w:overflowPunct/>
        <w:topLinePunct w:val="0"/>
        <w:autoSpaceDE/>
        <w:autoSpaceDN/>
        <w:bidi w:val="0"/>
        <w:adjustRightInd/>
        <w:snapToGrid/>
        <w:spacing w:line="440" w:lineRule="exact"/>
        <w:ind w:left="480" w:leftChars="0" w:hanging="480" w:hanging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default" w:ascii="仿宋_GB2312" w:hAnsi="仿宋_GB2312" w:eastAsia="仿宋_GB2312" w:cs="仿宋_GB2312"/>
          <w:color w:val="auto"/>
          <w:sz w:val="24"/>
          <w:szCs w:val="24"/>
          <w:highlight w:val="none"/>
          <w:lang w:val="en-US"/>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本表反映单位本年度“三公”经费支出预决算情况。其中，预算数为“三公”经费全年预算数，反映按规定程序调整后的预算数；决算数是包括当年一般公共预算财政拨款和以前年度结转资金安排的实际支出。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color w:val="auto"/>
          <w:highlight w:val="none"/>
        </w:rPr>
      </w:pPr>
      <w:r>
        <w:rPr>
          <w:rFonts w:hint="default" w:ascii="仿宋_GB2312" w:hAnsi="仿宋_GB2312" w:eastAsia="仿宋_GB2312" w:cs="仿宋_GB2312"/>
          <w:color w:val="auto"/>
          <w:sz w:val="24"/>
          <w:szCs w:val="24"/>
          <w:highlight w:val="none"/>
          <w:lang w:val="en-US"/>
        </w:rPr>
        <w:t>2</w:t>
      </w:r>
      <w:r>
        <w:rPr>
          <w:rFonts w:hint="eastAsia" w:ascii="仿宋_GB2312" w:hAnsi="仿宋_GB2312" w:eastAsia="仿宋_GB2312" w:cs="仿宋_GB2312"/>
          <w:color w:val="auto"/>
          <w:sz w:val="24"/>
          <w:szCs w:val="24"/>
          <w:highlight w:val="none"/>
          <w:lang w:val="en-US" w:eastAsia="zh-CN"/>
        </w:rPr>
        <w:t>、本表本年度无发生额</w:t>
      </w:r>
      <w:r>
        <w:rPr>
          <w:rFonts w:hint="eastAsia" w:ascii="仿宋_GB2312" w:hAnsi="仿宋_GB2312" w:eastAsia="仿宋_GB2312" w:cs="仿宋_GB2312"/>
          <w:color w:val="auto"/>
          <w:sz w:val="24"/>
          <w:szCs w:val="24"/>
          <w:highlight w:val="none"/>
          <w:lang w:eastAsia="zh-CN"/>
        </w:rPr>
        <w:t>。</w:t>
      </w:r>
    </w:p>
    <w:sectPr>
      <w:pgSz w:w="16838" w:h="11906" w:orient="landscape"/>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jVkZGRlOWYyYWY1NWQ5MGVmMzc3NzM3NzNjZjEifQ=="/>
  </w:docVars>
  <w:rsids>
    <w:rsidRoot w:val="2C1E02F3"/>
    <w:rsid w:val="004E65EC"/>
    <w:rsid w:val="03AF1A93"/>
    <w:rsid w:val="067803E8"/>
    <w:rsid w:val="07DD49A7"/>
    <w:rsid w:val="16B72867"/>
    <w:rsid w:val="18BD3D93"/>
    <w:rsid w:val="18CE1736"/>
    <w:rsid w:val="193E101D"/>
    <w:rsid w:val="1A3F6C62"/>
    <w:rsid w:val="1B2E2F39"/>
    <w:rsid w:val="1BFE2CE6"/>
    <w:rsid w:val="20F44810"/>
    <w:rsid w:val="269A360B"/>
    <w:rsid w:val="26C30DB4"/>
    <w:rsid w:val="280D678A"/>
    <w:rsid w:val="280E2503"/>
    <w:rsid w:val="28902F18"/>
    <w:rsid w:val="2A0B6CFA"/>
    <w:rsid w:val="2C1E02F3"/>
    <w:rsid w:val="2C4E1120"/>
    <w:rsid w:val="2D1A7254"/>
    <w:rsid w:val="2ED533DD"/>
    <w:rsid w:val="2FFD5337"/>
    <w:rsid w:val="31727460"/>
    <w:rsid w:val="346A6D13"/>
    <w:rsid w:val="3BDA66A1"/>
    <w:rsid w:val="400420D2"/>
    <w:rsid w:val="44374B5E"/>
    <w:rsid w:val="4CBA03DF"/>
    <w:rsid w:val="4E4B32B9"/>
    <w:rsid w:val="525C4081"/>
    <w:rsid w:val="54414E26"/>
    <w:rsid w:val="57A51C8C"/>
    <w:rsid w:val="58FC5B3E"/>
    <w:rsid w:val="5A186745"/>
    <w:rsid w:val="5DA13961"/>
    <w:rsid w:val="610A6658"/>
    <w:rsid w:val="64EE4C72"/>
    <w:rsid w:val="68B4438C"/>
    <w:rsid w:val="6994390F"/>
    <w:rsid w:val="69A51678"/>
    <w:rsid w:val="6D7F594F"/>
    <w:rsid w:val="6DD15131"/>
    <w:rsid w:val="732F55AC"/>
    <w:rsid w:val="7B537A59"/>
    <w:rsid w:val="7BFB539B"/>
    <w:rsid w:val="7C52568F"/>
    <w:rsid w:val="7E43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2022-11-14T01:33:00Z</dcterms:created>
  <dc:creator>飞菲</dc:creator>
  <cp:lastModifiedBy>文档存本地丢失不负责</cp:lastModifiedBy>
  <dcterms:modified xsi:type="dcterms:W3CDTF">2023-11-09T08:25:12Z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0C23AD6FBCA5425F816091581992AFFC</vt:lpwstr>
  </property>
</Properties>
</file>